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1A11B" w14:textId="77777777" w:rsidR="004C6905" w:rsidRDefault="008457E4">
      <w:pPr>
        <w:pStyle w:val="Heading1"/>
      </w:pPr>
      <w:bookmarkStart w:id="0" w:name="_Hlk109915287"/>
      <w:r>
        <w:t>Key information about the home</w:t>
      </w:r>
    </w:p>
    <w:p w14:paraId="74DE5D1A" w14:textId="77777777" w:rsidR="004C6905" w:rsidRDefault="008457E4">
      <w:r>
        <w:t>There are variations of shared ownership models which have different features. The model of shared ownership may vary depending on:</w:t>
      </w:r>
    </w:p>
    <w:p w14:paraId="11A6958D" w14:textId="77777777" w:rsidR="004C6905" w:rsidRDefault="008457E4">
      <w:pPr>
        <w:pStyle w:val="ListParagraph"/>
        <w:keepNext w:val="0"/>
        <w:numPr>
          <w:ilvl w:val="0"/>
          <w:numId w:val="2"/>
        </w:numPr>
        <w:ind w:left="1349" w:hanging="992"/>
      </w:pPr>
      <w:r>
        <w:t>what rules were in place at the time the home was funded or planning permission granted</w:t>
      </w:r>
    </w:p>
    <w:p w14:paraId="3EC3F34D" w14:textId="77777777" w:rsidR="004C6905" w:rsidRDefault="008457E4">
      <w:pPr>
        <w:pStyle w:val="ListParagraph"/>
        <w:keepNext w:val="0"/>
        <w:numPr>
          <w:ilvl w:val="0"/>
          <w:numId w:val="2"/>
        </w:numPr>
        <w:ind w:left="1349" w:hanging="992"/>
      </w:pPr>
      <w:r>
        <w:t>where the home is located</w:t>
      </w:r>
    </w:p>
    <w:p w14:paraId="7E59A9D6" w14:textId="77777777" w:rsidR="004C6905" w:rsidRDefault="008457E4">
      <w:pPr>
        <w:pStyle w:val="ListParagraph"/>
        <w:keepNext w:val="0"/>
        <w:numPr>
          <w:ilvl w:val="0"/>
          <w:numId w:val="2"/>
        </w:numPr>
        <w:ind w:left="1349" w:hanging="992"/>
      </w:pPr>
      <w:r>
        <w:t>whether the home is for a specific group of people</w:t>
      </w:r>
    </w:p>
    <w:p w14:paraId="50D560EA" w14:textId="77777777" w:rsidR="004C6905" w:rsidRDefault="008457E4">
      <w:r>
        <w:t>Homes built specifically for people over the ages of 55 are sold on the Older Persons Shared Ownership (OPSO) scheme. They have some key differences to normal shared ownership.</w:t>
      </w:r>
    </w:p>
    <w:p w14:paraId="24F3D9AF" w14:textId="77777777" w:rsidR="004C6905" w:rsidRDefault="008457E4">
      <w:r>
        <w:t xml:space="preserve">The table below highlights the key features of common shared ownership schemes. The information in this document is for </w:t>
      </w:r>
      <w:r>
        <w:rPr>
          <w:b/>
          <w:bCs/>
        </w:rPr>
        <w:t>Older Persons Shared Ownership</w:t>
      </w:r>
      <w:r>
        <w:t xml:space="preserve"> homes on the </w:t>
      </w:r>
      <w:r>
        <w:rPr>
          <w:b/>
          <w:bCs/>
        </w:rPr>
        <w:t>standard model shared ownership.</w:t>
      </w:r>
    </w:p>
    <w:p w14:paraId="0B763165" w14:textId="77777777" w:rsidR="004C6905" w:rsidRDefault="008457E4">
      <w:r>
        <w:t xml:space="preserve">Additional features of Older Persons Shared Ownership homes </w:t>
      </w:r>
    </w:p>
    <w:tbl>
      <w:tblPr>
        <w:tblW w:w="10057" w:type="dxa"/>
        <w:tblCellMar>
          <w:left w:w="10" w:type="dxa"/>
          <w:right w:w="10" w:type="dxa"/>
        </w:tblCellMar>
        <w:tblLook w:val="0000" w:firstRow="0" w:lastRow="0" w:firstColumn="0" w:lastColumn="0" w:noHBand="0" w:noVBand="0"/>
      </w:tblPr>
      <w:tblGrid>
        <w:gridCol w:w="2686"/>
        <w:gridCol w:w="7371"/>
      </w:tblGrid>
      <w:tr w:rsidR="004C6905" w14:paraId="7AB82E79" w14:textId="77777777">
        <w:tc>
          <w:tcPr>
            <w:tcW w:w="26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519C6C" w14:textId="77777777" w:rsidR="004C6905" w:rsidRDefault="008457E4">
            <w:r>
              <w:rPr>
                <w:b/>
                <w:bCs/>
                <w:lang w:eastAsia="en-GB"/>
              </w:rPr>
              <w:t>Scheme Lease Type </w:t>
            </w:r>
          </w:p>
        </w:tc>
        <w:tc>
          <w:tcPr>
            <w:tcW w:w="7371" w:type="dxa"/>
            <w:tcBorders>
              <w:top w:val="single" w:sz="6" w:space="0" w:color="000000"/>
              <w:bottom w:val="single" w:sz="6" w:space="0" w:color="000000"/>
              <w:right w:val="single" w:sz="6" w:space="0" w:color="000000"/>
            </w:tcBorders>
            <w:tcMar>
              <w:top w:w="0" w:type="dxa"/>
              <w:left w:w="0" w:type="dxa"/>
              <w:bottom w:w="0" w:type="dxa"/>
              <w:right w:w="0" w:type="dxa"/>
            </w:tcMar>
          </w:tcPr>
          <w:p w14:paraId="65EAC5EE" w14:textId="77777777" w:rsidR="004C6905" w:rsidRDefault="008457E4">
            <w:r>
              <w:rPr>
                <w:b/>
                <w:bCs/>
                <w:lang w:eastAsia="en-GB"/>
              </w:rPr>
              <w:t>Older Persons Shared Ownership </w:t>
            </w:r>
          </w:p>
        </w:tc>
      </w:tr>
      <w:tr w:rsidR="004C6905" w14:paraId="0B0FD1FA" w14:textId="77777777">
        <w:tc>
          <w:tcPr>
            <w:tcW w:w="2686" w:type="dxa"/>
            <w:tcBorders>
              <w:left w:val="single" w:sz="6" w:space="0" w:color="000000"/>
              <w:bottom w:val="single" w:sz="6" w:space="0" w:color="000000"/>
              <w:right w:val="single" w:sz="6" w:space="0" w:color="000000"/>
            </w:tcBorders>
            <w:tcMar>
              <w:top w:w="0" w:type="dxa"/>
              <w:left w:w="0" w:type="dxa"/>
              <w:bottom w:w="0" w:type="dxa"/>
              <w:right w:w="0" w:type="dxa"/>
            </w:tcMar>
          </w:tcPr>
          <w:p w14:paraId="06DBD132" w14:textId="77777777" w:rsidR="004C6905" w:rsidRDefault="008457E4">
            <w:r>
              <w:rPr>
                <w:b/>
                <w:bCs/>
                <w:lang w:eastAsia="en-GB"/>
              </w:rPr>
              <w:t>Feature</w:t>
            </w:r>
          </w:p>
        </w:tc>
        <w:tc>
          <w:tcPr>
            <w:tcW w:w="7371" w:type="dxa"/>
            <w:tcBorders>
              <w:bottom w:val="single" w:sz="6" w:space="0" w:color="000000"/>
              <w:right w:val="single" w:sz="6" w:space="0" w:color="000000"/>
            </w:tcBorders>
            <w:tcMar>
              <w:top w:w="0" w:type="dxa"/>
              <w:left w:w="0" w:type="dxa"/>
              <w:bottom w:w="0" w:type="dxa"/>
              <w:right w:w="0" w:type="dxa"/>
            </w:tcMar>
          </w:tcPr>
          <w:p w14:paraId="39F51ABF" w14:textId="0E899EE7" w:rsidR="004C6905" w:rsidRDefault="00726006">
            <w:r>
              <w:rPr>
                <w:lang w:eastAsia="en-GB"/>
              </w:rPr>
              <w:t xml:space="preserve"> </w:t>
            </w:r>
            <w:r w:rsidR="008457E4">
              <w:rPr>
                <w:lang w:eastAsia="en-GB"/>
              </w:rPr>
              <w:t>If you reach 75% ownership you no longer have to pay rent. </w:t>
            </w:r>
          </w:p>
        </w:tc>
      </w:tr>
      <w:tr w:rsidR="004C6905" w14:paraId="3E9A8F67" w14:textId="77777777">
        <w:tc>
          <w:tcPr>
            <w:tcW w:w="2686" w:type="dxa"/>
            <w:tcBorders>
              <w:left w:val="single" w:sz="6" w:space="0" w:color="000000"/>
              <w:bottom w:val="single" w:sz="6" w:space="0" w:color="000000"/>
              <w:right w:val="single" w:sz="6" w:space="0" w:color="000000"/>
            </w:tcBorders>
            <w:tcMar>
              <w:top w:w="0" w:type="dxa"/>
              <w:left w:w="0" w:type="dxa"/>
              <w:bottom w:w="0" w:type="dxa"/>
              <w:right w:w="0" w:type="dxa"/>
            </w:tcMar>
          </w:tcPr>
          <w:p w14:paraId="78F72D52" w14:textId="77777777" w:rsidR="004C6905" w:rsidRDefault="008457E4">
            <w:r>
              <w:rPr>
                <w:b/>
                <w:bCs/>
                <w:lang w:eastAsia="en-GB"/>
              </w:rPr>
              <w:t>Maximum % share you can own in future </w:t>
            </w:r>
          </w:p>
        </w:tc>
        <w:tc>
          <w:tcPr>
            <w:tcW w:w="7371" w:type="dxa"/>
            <w:tcBorders>
              <w:bottom w:val="single" w:sz="6" w:space="0" w:color="000000"/>
              <w:right w:val="single" w:sz="6" w:space="0" w:color="000000"/>
            </w:tcBorders>
            <w:tcMar>
              <w:top w:w="0" w:type="dxa"/>
              <w:left w:w="0" w:type="dxa"/>
              <w:bottom w:w="0" w:type="dxa"/>
              <w:right w:w="0" w:type="dxa"/>
            </w:tcMar>
          </w:tcPr>
          <w:p w14:paraId="3D92AA43" w14:textId="45C08BB6" w:rsidR="004C6905" w:rsidRDefault="00726006">
            <w:r>
              <w:rPr>
                <w:lang w:eastAsia="en-GB"/>
              </w:rPr>
              <w:t xml:space="preserve"> </w:t>
            </w:r>
            <w:r w:rsidR="008457E4">
              <w:rPr>
                <w:lang w:eastAsia="en-GB"/>
              </w:rPr>
              <w:t>75% </w:t>
            </w:r>
          </w:p>
        </w:tc>
      </w:tr>
      <w:tr w:rsidR="004C6905" w14:paraId="16512CDC" w14:textId="77777777">
        <w:tc>
          <w:tcPr>
            <w:tcW w:w="2686" w:type="dxa"/>
            <w:tcBorders>
              <w:left w:val="single" w:sz="6" w:space="0" w:color="000000"/>
              <w:bottom w:val="single" w:sz="6" w:space="0" w:color="000000"/>
              <w:right w:val="single" w:sz="6" w:space="0" w:color="000000"/>
            </w:tcBorders>
            <w:tcMar>
              <w:top w:w="0" w:type="dxa"/>
              <w:left w:w="0" w:type="dxa"/>
              <w:bottom w:w="0" w:type="dxa"/>
              <w:right w:w="0" w:type="dxa"/>
            </w:tcMar>
          </w:tcPr>
          <w:p w14:paraId="4A7C2BB3" w14:textId="77777777" w:rsidR="004C6905" w:rsidRDefault="008457E4">
            <w:r>
              <w:rPr>
                <w:b/>
                <w:bCs/>
                <w:lang w:eastAsia="en-GB"/>
              </w:rPr>
              <w:t>Additional restrictions  </w:t>
            </w:r>
          </w:p>
        </w:tc>
        <w:tc>
          <w:tcPr>
            <w:tcW w:w="7371" w:type="dxa"/>
            <w:tcBorders>
              <w:bottom w:val="single" w:sz="6" w:space="0" w:color="000000"/>
              <w:right w:val="single" w:sz="6" w:space="0" w:color="000000"/>
            </w:tcBorders>
            <w:tcMar>
              <w:top w:w="0" w:type="dxa"/>
              <w:left w:w="0" w:type="dxa"/>
              <w:bottom w:w="0" w:type="dxa"/>
              <w:right w:w="0" w:type="dxa"/>
            </w:tcMar>
          </w:tcPr>
          <w:p w14:paraId="18A53E3B" w14:textId="5EF8EC68" w:rsidR="004C6905" w:rsidRDefault="00726006">
            <w:r>
              <w:rPr>
                <w:lang w:eastAsia="en-GB"/>
              </w:rPr>
              <w:t xml:space="preserve"> </w:t>
            </w:r>
            <w:r w:rsidR="008457E4">
              <w:rPr>
                <w:lang w:eastAsia="en-GB"/>
              </w:rPr>
              <w:t xml:space="preserve">For over </w:t>
            </w:r>
            <w:r>
              <w:rPr>
                <w:lang w:eastAsia="en-GB"/>
              </w:rPr>
              <w:t>60</w:t>
            </w:r>
            <w:r w:rsidR="008457E4">
              <w:rPr>
                <w:lang w:eastAsia="en-GB"/>
              </w:rPr>
              <w:t>s only </w:t>
            </w:r>
          </w:p>
        </w:tc>
      </w:tr>
    </w:tbl>
    <w:p w14:paraId="4332BC14" w14:textId="77777777" w:rsidR="004C6905" w:rsidRDefault="008457E4">
      <w:r>
        <w:t>When you are looking for shared ownership homes, you should always check the Key Information Document to see which model covers that specific home.</w:t>
      </w:r>
    </w:p>
    <w:p w14:paraId="0C662209" w14:textId="77777777" w:rsidR="004C6905" w:rsidRDefault="008457E4">
      <w:r>
        <w:t xml:space="preserve">When you buy a home through shared ownership, you </w:t>
      </w:r>
      <w:bookmarkStart w:id="1" w:name="_Int_VrJrm7Xe"/>
      <w:r>
        <w:t>enter into</w:t>
      </w:r>
      <w:bookmarkEnd w:id="1"/>
      <w:r>
        <w:t xml:space="preserve"> a shared ownership lease. The lease is a legal agreement between you (the ‘leaseholder’) and the landlord. It sets out the rights and responsibilities of both parties.</w:t>
      </w:r>
    </w:p>
    <w:p w14:paraId="453473C8" w14:textId="77777777" w:rsidR="004C6905" w:rsidRDefault="008457E4">
      <w:r>
        <w:t>Before committing to buy a shared ownership property, you should take independent legal and financial advice.</w:t>
      </w:r>
    </w:p>
    <w:p w14:paraId="084AA88F" w14:textId="77777777" w:rsidR="004C6905" w:rsidRDefault="008457E4">
      <w:r>
        <w:t xml:space="preserve">This key information document is to help you decide if Older Persons Shared Ownership is right for you. You should read this document carefully so that you </w:t>
      </w:r>
      <w:r>
        <w:lastRenderedPageBreak/>
        <w:t>understand what you are buying, and then keep it safe for future reference. This document ‘Key information about the home’ is a summary and you should consider the information in ‘Summary of costs’ and ‘Guide to shared ownership’ before making a decision.</w:t>
      </w:r>
    </w:p>
    <w:p w14:paraId="333134D1" w14:textId="77777777" w:rsidR="004C6905" w:rsidRDefault="008457E4">
      <w:r>
        <w:t xml:space="preserve">This does not form part of the lease. You should carefully consider the information and the accompanying </w:t>
      </w:r>
      <w:bookmarkStart w:id="2" w:name="_Int_ICEZawaH"/>
      <w:r>
        <w:t>lease, and</w:t>
      </w:r>
      <w:bookmarkEnd w:id="2"/>
      <w:r>
        <w:t xml:space="preserve"> discuss any issues with your legal adviser before signing the lease.</w:t>
      </w:r>
    </w:p>
    <w:p w14:paraId="01C3F89E" w14:textId="77777777" w:rsidR="004C6905" w:rsidRDefault="004C6905"/>
    <w:tbl>
      <w:tblPr>
        <w:tblW w:w="9414" w:type="dxa"/>
        <w:tblCellMar>
          <w:left w:w="10" w:type="dxa"/>
          <w:right w:w="10" w:type="dxa"/>
        </w:tblCellMar>
        <w:tblLook w:val="0000" w:firstRow="0" w:lastRow="0" w:firstColumn="0" w:lastColumn="0" w:noHBand="0" w:noVBand="0"/>
      </w:tblPr>
      <w:tblGrid>
        <w:gridCol w:w="9414"/>
      </w:tblGrid>
      <w:tr w:rsidR="004C6905" w14:paraId="3EC1F2C7"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56256BD6" w14:textId="77777777" w:rsidR="004C6905" w:rsidRDefault="008457E4">
            <w:pPr>
              <w:rPr>
                <w:lang w:val="en-US"/>
              </w:rPr>
            </w:pPr>
            <w:r>
              <w:rPr>
                <w:lang w:val="en-US"/>
              </w:rPr>
              <w:t>Failure to pay your rent, service charge or mortgage could mean your home is at risk of repossession.</w:t>
            </w:r>
          </w:p>
          <w:p w14:paraId="74A6D18D" w14:textId="77777777" w:rsidR="004C6905" w:rsidRDefault="008457E4">
            <w:r>
              <w:t xml:space="preserve">The costs in this document are the costs as at the date issued. These will increase (typically on an annual basis) and you should take financial advice on whether this will be sustainable for you.  </w:t>
            </w:r>
          </w:p>
        </w:tc>
      </w:tr>
    </w:tbl>
    <w:p w14:paraId="318B8D24" w14:textId="77777777" w:rsidR="004C6905" w:rsidRDefault="004C6905"/>
    <w:p w14:paraId="51B2778B" w14:textId="77777777" w:rsidR="004C6905" w:rsidRDefault="008457E4">
      <w:pPr>
        <w:rPr>
          <w:b/>
          <w:bCs/>
          <w:sz w:val="32"/>
          <w:szCs w:val="32"/>
        </w:rPr>
      </w:pPr>
      <w:r>
        <w:rPr>
          <w:b/>
          <w:bCs/>
          <w:sz w:val="32"/>
          <w:szCs w:val="32"/>
        </w:rPr>
        <w:t>Property Details</w:t>
      </w:r>
    </w:p>
    <w:tbl>
      <w:tblPr>
        <w:tblW w:w="9349" w:type="dxa"/>
        <w:tblInd w:w="-5" w:type="dxa"/>
        <w:tblCellMar>
          <w:left w:w="10" w:type="dxa"/>
          <w:right w:w="10" w:type="dxa"/>
        </w:tblCellMar>
        <w:tblLook w:val="0000" w:firstRow="0" w:lastRow="0" w:firstColumn="0" w:lastColumn="0" w:noHBand="0" w:noVBand="0"/>
      </w:tblPr>
      <w:tblGrid>
        <w:gridCol w:w="2268"/>
        <w:gridCol w:w="7081"/>
      </w:tblGrid>
      <w:tr w:rsidR="004C6905" w14:paraId="268C9A2E" w14:textId="77777777" w:rsidTr="00726006">
        <w:trPr>
          <w:cantSplit/>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6A0E4B1" w14:textId="77777777" w:rsidR="004C6905" w:rsidRDefault="008457E4">
            <w:pPr>
              <w:rPr>
                <w:b/>
                <w:bCs/>
              </w:rPr>
            </w:pPr>
            <w:r>
              <w:rPr>
                <w:b/>
                <w:bCs/>
              </w:rPr>
              <w:t>Address</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57221EF" w14:textId="25EDEC79" w:rsidR="004C6905" w:rsidRDefault="00BB5CC4">
            <w:r>
              <w:t>Flat 39 Abbotswood, Station Road, Rustington, West Sussex, BN16 3BJ</w:t>
            </w:r>
          </w:p>
        </w:tc>
      </w:tr>
      <w:tr w:rsidR="004C6905" w14:paraId="41CA07F0" w14:textId="77777777" w:rsidTr="00726006">
        <w:trPr>
          <w:cantSplit/>
          <w:trHeight w:val="725"/>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B038DB4" w14:textId="77777777" w:rsidR="004C6905" w:rsidRDefault="008457E4">
            <w:pPr>
              <w:rPr>
                <w:b/>
                <w:bCs/>
              </w:rPr>
            </w:pPr>
            <w:r>
              <w:rPr>
                <w:b/>
                <w:bCs/>
              </w:rPr>
              <w:t>Property type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15EED7F" w14:textId="4AFACF5B" w:rsidR="004C6905" w:rsidRDefault="00BB5CC4">
            <w:r>
              <w:t>Two-bedroom first floor flat</w:t>
            </w:r>
          </w:p>
        </w:tc>
      </w:tr>
      <w:tr w:rsidR="004C6905" w14:paraId="733CF10B" w14:textId="77777777" w:rsidTr="00726006">
        <w:trPr>
          <w:cantSplit/>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E9F641E" w14:textId="77777777" w:rsidR="004C6905" w:rsidRDefault="008457E4">
            <w:pPr>
              <w:rPr>
                <w:b/>
                <w:bCs/>
              </w:rPr>
            </w:pPr>
            <w:r>
              <w:rPr>
                <w:b/>
                <w:bCs/>
              </w:rPr>
              <w:t>Scheme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12C1560" w14:textId="77777777" w:rsidR="004C6905" w:rsidRDefault="008457E4">
            <w:r>
              <w:t>Older Persons Shared Ownership resale</w:t>
            </w:r>
          </w:p>
        </w:tc>
      </w:tr>
      <w:tr w:rsidR="004C6905" w14:paraId="48525C7D" w14:textId="77777777" w:rsidTr="00726006">
        <w:trPr>
          <w:cantSplit/>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3F825CA" w14:textId="77777777" w:rsidR="004C6905" w:rsidRDefault="008457E4">
            <w:pPr>
              <w:rPr>
                <w:b/>
                <w:bCs/>
              </w:rPr>
            </w:pPr>
            <w:r>
              <w:rPr>
                <w:b/>
                <w:bCs/>
              </w:rPr>
              <w:t>Full market value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1CE7459" w14:textId="3AFBC287" w:rsidR="004C6905" w:rsidRDefault="006C3697">
            <w:r>
              <w:t>£245,000</w:t>
            </w:r>
          </w:p>
        </w:tc>
      </w:tr>
      <w:tr w:rsidR="004C6905" w14:paraId="654BC98E" w14:textId="77777777" w:rsidTr="00726006">
        <w:trPr>
          <w:cantSplit/>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AB2FF4E" w14:textId="77777777" w:rsidR="004C6905" w:rsidRDefault="008457E4">
            <w:pPr>
              <w:rPr>
                <w:b/>
                <w:bCs/>
              </w:rPr>
            </w:pPr>
            <w:r>
              <w:rPr>
                <w:b/>
                <w:bCs/>
              </w:rPr>
              <w:lastRenderedPageBreak/>
              <w:t>Share Purchase Price and Rent Examples</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FF90948" w14:textId="77777777" w:rsidR="004C6905" w:rsidRDefault="008457E4">
            <w:r>
              <w:t>The share purchase price is calculated using the full market value and the percentage share purchased.</w:t>
            </w:r>
          </w:p>
          <w:p w14:paraId="66A61C94" w14:textId="4C45FEC4" w:rsidR="004C6905" w:rsidRDefault="008457E4">
            <w:r>
              <w:t xml:space="preserve">If you buy a </w:t>
            </w:r>
            <w:r w:rsidR="00726006">
              <w:t>75</w:t>
            </w:r>
            <w:r>
              <w:t>% share, the share purchase price will be £</w:t>
            </w:r>
            <w:r w:rsidR="006C3697">
              <w:t xml:space="preserve">183,750 </w:t>
            </w:r>
            <w:r>
              <w:t>and the rent will be £</w:t>
            </w:r>
            <w:r w:rsidR="00726006">
              <w:t>0</w:t>
            </w:r>
            <w:r>
              <w:t xml:space="preserve"> a month. </w:t>
            </w:r>
          </w:p>
          <w:p w14:paraId="2F9AEB90" w14:textId="1F7A530A" w:rsidR="004C6905" w:rsidRDefault="00726006">
            <w:r>
              <w:t>As you are purchasing</w:t>
            </w:r>
            <w:r w:rsidR="008457E4">
              <w:t xml:space="preserve"> 75%</w:t>
            </w:r>
            <w:r>
              <w:t xml:space="preserve"> </w:t>
            </w:r>
            <w:r w:rsidR="008457E4">
              <w:t>ownership, there is no rent payable on the remaining 25% share.</w:t>
            </w:r>
          </w:p>
        </w:tc>
      </w:tr>
      <w:tr w:rsidR="004C6905" w14:paraId="03B20686" w14:textId="77777777" w:rsidTr="00726006">
        <w:trPr>
          <w:cantSplit/>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780290D" w14:textId="77777777" w:rsidR="004C6905" w:rsidRDefault="008457E4">
            <w:pPr>
              <w:rPr>
                <w:b/>
                <w:bCs/>
              </w:rPr>
            </w:pPr>
            <w:r>
              <w:rPr>
                <w:b/>
                <w:bCs/>
              </w:rPr>
              <w:t>Monthly payment to the landlord</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5C4ABA1" w14:textId="77777777" w:rsidR="004C6905" w:rsidRDefault="008457E4">
            <w:r>
              <w:t>In addition to the rent above, the monthly payment to the landlord includes:</w:t>
            </w:r>
          </w:p>
          <w:p w14:paraId="1F34A143" w14:textId="51664D87" w:rsidR="006C3697" w:rsidRDefault="006C3697" w:rsidP="006C3697">
            <w:pPr>
              <w:pStyle w:val="Normalintable"/>
              <w:keepLines/>
              <w:tabs>
                <w:tab w:val="left" w:pos="2732"/>
              </w:tabs>
            </w:pPr>
            <w:r>
              <w:rPr>
                <w:rFonts w:eastAsia="Arial"/>
                <w:color w:val="000000"/>
              </w:rPr>
              <w:t>Estate charge</w:t>
            </w:r>
            <w:r>
              <w:tab/>
            </w:r>
            <w:r>
              <w:rPr>
                <w:rFonts w:eastAsia="Arial"/>
                <w:color w:val="000000"/>
              </w:rPr>
              <w:t xml:space="preserve">            </w:t>
            </w:r>
            <w:r>
              <w:tab/>
            </w:r>
            <w:r>
              <w:tab/>
              <w:t>£</w:t>
            </w:r>
            <w:r>
              <w:t>16.30</w:t>
            </w:r>
          </w:p>
          <w:p w14:paraId="411B3CEA" w14:textId="77777777" w:rsidR="006C3697" w:rsidRDefault="006C3697" w:rsidP="006C3697">
            <w:pPr>
              <w:pStyle w:val="Normalintable"/>
              <w:keepLines/>
              <w:tabs>
                <w:tab w:val="left" w:pos="2732"/>
              </w:tabs>
            </w:pPr>
            <w:r>
              <w:rPr>
                <w:rFonts w:eastAsia="Arial"/>
                <w:color w:val="000000"/>
              </w:rPr>
              <w:t>Buildings insurance</w:t>
            </w:r>
            <w:r>
              <w:tab/>
            </w:r>
            <w:r>
              <w:rPr>
                <w:rFonts w:eastAsia="Arial"/>
                <w:color w:val="000000"/>
              </w:rPr>
              <w:t xml:space="preserve">            </w:t>
            </w:r>
            <w:r>
              <w:tab/>
            </w:r>
            <w:r>
              <w:tab/>
              <w:t>£13.54</w:t>
            </w:r>
          </w:p>
          <w:p w14:paraId="4CFCB1FA" w14:textId="77777777" w:rsidR="006C3697" w:rsidRDefault="006C3697" w:rsidP="006C3697">
            <w:pPr>
              <w:pStyle w:val="Normalintable"/>
              <w:keepLines/>
              <w:tabs>
                <w:tab w:val="left" w:pos="2732"/>
              </w:tabs>
            </w:pPr>
            <w:r>
              <w:rPr>
                <w:rFonts w:eastAsia="Arial"/>
                <w:color w:val="000000"/>
              </w:rPr>
              <w:t>Management fee</w:t>
            </w:r>
            <w:r>
              <w:tab/>
            </w:r>
            <w:r>
              <w:rPr>
                <w:rFonts w:eastAsia="Arial"/>
                <w:color w:val="000000"/>
              </w:rPr>
              <w:t xml:space="preserve">            </w:t>
            </w:r>
            <w:r>
              <w:tab/>
            </w:r>
            <w:r>
              <w:tab/>
              <w:t>£30.19</w:t>
            </w:r>
          </w:p>
          <w:p w14:paraId="15449CEA" w14:textId="3A4FD9C9" w:rsidR="006C3697" w:rsidRDefault="006C3697" w:rsidP="006C3697">
            <w:pPr>
              <w:pStyle w:val="Normalintable"/>
              <w:keepLines/>
              <w:tabs>
                <w:tab w:val="left" w:pos="2732"/>
              </w:tabs>
            </w:pPr>
            <w:r>
              <w:rPr>
                <w:rFonts w:eastAsia="Arial"/>
                <w:color w:val="000000"/>
              </w:rPr>
              <w:t xml:space="preserve">Reserve/sinking fund payment     </w:t>
            </w:r>
            <w:r>
              <w:tab/>
            </w:r>
            <w:r>
              <w:tab/>
              <w:t>£</w:t>
            </w:r>
            <w:r>
              <w:t>28.0</w:t>
            </w:r>
            <w:r w:rsidR="00107E10">
              <w:t>5</w:t>
            </w:r>
          </w:p>
          <w:p w14:paraId="04446F5D" w14:textId="02D34AD7" w:rsidR="006C3697" w:rsidRDefault="006C3697" w:rsidP="006C3697">
            <w:pPr>
              <w:spacing w:before="0" w:after="0"/>
            </w:pPr>
            <w:r>
              <w:t>Warden call services</w:t>
            </w:r>
            <w:r>
              <w:tab/>
            </w:r>
            <w:r>
              <w:tab/>
              <w:t xml:space="preserve">          </w:t>
            </w:r>
            <w:r>
              <w:tab/>
              <w:t>£4.</w:t>
            </w:r>
            <w:r>
              <w:t>90</w:t>
            </w:r>
          </w:p>
          <w:p w14:paraId="5070F8A8" w14:textId="77777777" w:rsidR="006C3697" w:rsidRDefault="006C3697" w:rsidP="006C3697">
            <w:pPr>
              <w:spacing w:before="0" w:after="0"/>
            </w:pPr>
            <w:r>
              <w:t>Catering overheads                                 £121.36</w:t>
            </w:r>
          </w:p>
          <w:p w14:paraId="190035E0" w14:textId="1C09F268" w:rsidR="006C3697" w:rsidRDefault="006C3697" w:rsidP="006C3697">
            <w:pPr>
              <w:spacing w:before="0" w:after="0"/>
            </w:pPr>
            <w:r>
              <w:t>Other monthly costs                                 £</w:t>
            </w:r>
            <w:r w:rsidR="00107E10">
              <w:t>214.34</w:t>
            </w:r>
          </w:p>
          <w:p w14:paraId="5D363592" w14:textId="33102B66" w:rsidR="004C6905" w:rsidRPr="00726006" w:rsidRDefault="008457E4">
            <w:pPr>
              <w:rPr>
                <w:b/>
                <w:bCs/>
              </w:rPr>
            </w:pPr>
            <w:r w:rsidRPr="00726006">
              <w:rPr>
                <w:b/>
                <w:bCs/>
              </w:rPr>
              <w:t>Total monthly payment</w:t>
            </w:r>
            <w:r w:rsidRPr="00726006">
              <w:rPr>
                <w:b/>
                <w:bCs/>
              </w:rPr>
              <w:tab/>
              <w:t>£</w:t>
            </w:r>
            <w:r w:rsidR="00BB5CC4">
              <w:rPr>
                <w:b/>
                <w:bCs/>
              </w:rPr>
              <w:t>563.20</w:t>
            </w:r>
          </w:p>
        </w:tc>
      </w:tr>
      <w:tr w:rsidR="004C6905" w14:paraId="1EBF7AC8" w14:textId="77777777" w:rsidTr="00726006">
        <w:trPr>
          <w:cantSplit/>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FB0E60B" w14:textId="77777777" w:rsidR="004C6905" w:rsidRDefault="008457E4">
            <w:pPr>
              <w:rPr>
                <w:b/>
                <w:bCs/>
              </w:rPr>
            </w:pPr>
            <w:r>
              <w:rPr>
                <w:b/>
                <w:bCs/>
              </w:rPr>
              <w:t>Reservation fee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0366BC9" w14:textId="2BE10B34" w:rsidR="004C6905" w:rsidRDefault="008457E4">
            <w:r>
              <w:t>£</w:t>
            </w:r>
            <w:r w:rsidR="00726006">
              <w:t>500</w:t>
            </w:r>
          </w:p>
          <w:p w14:paraId="72D1EEC9" w14:textId="77777777" w:rsidR="004C6905" w:rsidRDefault="008457E4">
            <w:r>
              <w:t xml:space="preserve">You’ll need to pay a reservation fee to secure your home. When you pay the fee, no one else will be able to reserve the home. </w:t>
            </w:r>
          </w:p>
          <w:p w14:paraId="1245E71A" w14:textId="428DD498" w:rsidR="004C6905" w:rsidRDefault="008457E4">
            <w:r>
              <w:t xml:space="preserve">The reservation fee secures the home </w:t>
            </w:r>
            <w:r w:rsidRPr="00726006">
              <w:rPr>
                <w:u w:val="single"/>
              </w:rPr>
              <w:t xml:space="preserve">for </w:t>
            </w:r>
            <w:r w:rsidR="00726006" w:rsidRPr="00726006">
              <w:rPr>
                <w:u w:val="single"/>
              </w:rPr>
              <w:t>28</w:t>
            </w:r>
            <w:r w:rsidRPr="00726006">
              <w:rPr>
                <w:u w:val="single"/>
              </w:rPr>
              <w:t xml:space="preserve"> days</w:t>
            </w:r>
            <w:r>
              <w:t>. If you buy the home, the fee will be taken off the final amount you pay on completion. If you do not buy the home, the fee</w:t>
            </w:r>
            <w:r w:rsidR="00726006">
              <w:t xml:space="preserve"> is </w:t>
            </w:r>
            <w:r>
              <w:t>refundable.</w:t>
            </w:r>
          </w:p>
        </w:tc>
      </w:tr>
      <w:tr w:rsidR="004C6905" w14:paraId="1E355081" w14:textId="77777777" w:rsidTr="00726006">
        <w:trPr>
          <w:cantSplit/>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D6162F" w14:textId="77777777" w:rsidR="004C6905" w:rsidRDefault="008457E4">
            <w:pPr>
              <w:rPr>
                <w:b/>
                <w:bCs/>
              </w:rPr>
            </w:pPr>
            <w:r>
              <w:rPr>
                <w:b/>
                <w:bCs/>
              </w:rPr>
              <w:lastRenderedPageBreak/>
              <w:t>Eligibility</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A3E4146" w14:textId="77777777" w:rsidR="00726006" w:rsidRDefault="008457E4" w:rsidP="00726006">
            <w:r>
              <w:t xml:space="preserve"> </w:t>
            </w:r>
            <w:r w:rsidR="00726006">
              <w:t>You can apply to buy the home if all of the following apply:</w:t>
            </w:r>
          </w:p>
          <w:p w14:paraId="115AC810" w14:textId="77777777" w:rsidR="00726006" w:rsidRDefault="00726006" w:rsidP="00726006">
            <w:pPr>
              <w:pStyle w:val="ListParagraph"/>
              <w:numPr>
                <w:ilvl w:val="0"/>
                <w:numId w:val="3"/>
              </w:numPr>
            </w:pPr>
            <w:r>
              <w:t>You are 60 years old or over</w:t>
            </w:r>
          </w:p>
          <w:p w14:paraId="62B9D90A" w14:textId="77777777" w:rsidR="00726006" w:rsidRDefault="00726006" w:rsidP="00726006">
            <w:pPr>
              <w:pStyle w:val="ListParagraph"/>
              <w:numPr>
                <w:ilvl w:val="0"/>
                <w:numId w:val="2"/>
              </w:numPr>
            </w:pPr>
            <w:r>
              <w:t>You have no more than £500,000 in savings or assets</w:t>
            </w:r>
          </w:p>
          <w:p w14:paraId="0EC83C90" w14:textId="77777777" w:rsidR="00726006" w:rsidRDefault="00726006" w:rsidP="00726006">
            <w:pPr>
              <w:pStyle w:val="ListParagraph"/>
              <w:numPr>
                <w:ilvl w:val="0"/>
                <w:numId w:val="2"/>
              </w:numPr>
            </w:pPr>
            <w:r>
              <w:t>You pass our affordability assessment</w:t>
            </w:r>
          </w:p>
          <w:p w14:paraId="32C81151" w14:textId="77777777" w:rsidR="00726006" w:rsidRDefault="00726006" w:rsidP="00726006">
            <w:pPr>
              <w:pStyle w:val="ListParagraph"/>
              <w:numPr>
                <w:ilvl w:val="0"/>
                <w:numId w:val="2"/>
              </w:numPr>
            </w:pPr>
            <w:r>
              <w:t>You pass our scheme manager assessment</w:t>
            </w:r>
          </w:p>
          <w:p w14:paraId="404D2253" w14:textId="77777777" w:rsidR="00726006" w:rsidRDefault="00726006" w:rsidP="00726006">
            <w:pPr>
              <w:pStyle w:val="ListParagraph"/>
              <w:keepNext w:val="0"/>
              <w:numPr>
                <w:ilvl w:val="0"/>
                <w:numId w:val="2"/>
              </w:numPr>
            </w:pPr>
            <w:r>
              <w:t>You do not own another property (any property owned must be a minimum of under offer)</w:t>
            </w:r>
          </w:p>
          <w:p w14:paraId="6A2A9215" w14:textId="77777777" w:rsidR="00726006" w:rsidRDefault="00726006" w:rsidP="00726006">
            <w:r>
              <w:t>If you own a home, you must have completed the sale of the home on or before the date you complete your shared ownership purchase.</w:t>
            </w:r>
          </w:p>
          <w:p w14:paraId="555AF9FD" w14:textId="7E3317DA" w:rsidR="004C6905" w:rsidRDefault="00726006" w:rsidP="00726006">
            <w:r>
              <w:rPr>
                <w:rStyle w:val="normaltextrun"/>
              </w:rPr>
              <w:t>As part of your application, your finances will be assessed to ensure that you can afford and sustain the monthly charges.</w:t>
            </w:r>
          </w:p>
        </w:tc>
      </w:tr>
      <w:tr w:rsidR="004C6905" w14:paraId="5D4CA7C7" w14:textId="77777777" w:rsidTr="00726006">
        <w:trPr>
          <w:cantSplit/>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E5E266C" w14:textId="77777777" w:rsidR="004C6905" w:rsidRDefault="008457E4">
            <w:pPr>
              <w:rPr>
                <w:b/>
                <w:bCs/>
              </w:rPr>
            </w:pPr>
            <w:r>
              <w:rPr>
                <w:b/>
                <w:bCs/>
              </w:rPr>
              <w:t>Tenure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CF4FAF6" w14:textId="77777777" w:rsidR="004C6905" w:rsidRDefault="008457E4">
            <w:r>
              <w:t>Leasehold</w:t>
            </w:r>
          </w:p>
        </w:tc>
      </w:tr>
      <w:tr w:rsidR="004C6905" w14:paraId="129B6045" w14:textId="77777777" w:rsidTr="00726006">
        <w:trPr>
          <w:cantSplit/>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0CD533C" w14:textId="77777777" w:rsidR="004C6905" w:rsidRDefault="008457E4">
            <w:pPr>
              <w:rPr>
                <w:b/>
                <w:bCs/>
              </w:rPr>
            </w:pPr>
            <w:r>
              <w:rPr>
                <w:b/>
                <w:bCs/>
              </w:rPr>
              <w:t>Lease type</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C834B8" w14:textId="77777777" w:rsidR="004C6905" w:rsidRDefault="008457E4">
            <w:r w:rsidRPr="00726006">
              <w:t>Older Persons Shared Ownership flat lease</w:t>
            </w:r>
          </w:p>
        </w:tc>
      </w:tr>
      <w:tr w:rsidR="004C6905" w14:paraId="2DB4F173" w14:textId="77777777" w:rsidTr="00726006">
        <w:trPr>
          <w:cantSplit/>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DC90058" w14:textId="77777777" w:rsidR="004C6905" w:rsidRDefault="008457E4">
            <w:pPr>
              <w:rPr>
                <w:b/>
                <w:bCs/>
              </w:rPr>
            </w:pPr>
            <w:r>
              <w:rPr>
                <w:b/>
                <w:bCs/>
              </w:rPr>
              <w:t>Lease term</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C7CB144" w14:textId="1C181CAA" w:rsidR="004C6905" w:rsidRDefault="00BB5CC4">
            <w:r>
              <w:t>111</w:t>
            </w:r>
            <w:r w:rsidR="008457E4">
              <w:t xml:space="preserve"> years</w:t>
            </w:r>
          </w:p>
          <w:p w14:paraId="06A97332" w14:textId="77777777" w:rsidR="004C6905" w:rsidRDefault="008457E4">
            <w:r>
              <w:t>For more information, see section 2.5, ‘Lease extensions’, in the ‘Key information about shared ownership’ document.</w:t>
            </w:r>
          </w:p>
        </w:tc>
      </w:tr>
      <w:tr w:rsidR="004C6905" w14:paraId="7F842356" w14:textId="77777777" w:rsidTr="00726006">
        <w:trPr>
          <w:cantSplit/>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19F89AB" w14:textId="77777777" w:rsidR="004C6905" w:rsidRDefault="008457E4">
            <w:pPr>
              <w:rPr>
                <w:b/>
                <w:bCs/>
              </w:rPr>
            </w:pPr>
            <w:r>
              <w:rPr>
                <w:b/>
                <w:bCs/>
              </w:rPr>
              <w:t>Maximum share you can own</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0712423" w14:textId="77777777" w:rsidR="004C6905" w:rsidRDefault="008457E4">
            <w:r>
              <w:t>You can buy up to 75% of your home.</w:t>
            </w:r>
          </w:p>
        </w:tc>
      </w:tr>
      <w:tr w:rsidR="004C6905" w14:paraId="61F3614D" w14:textId="77777777" w:rsidTr="00726006">
        <w:trPr>
          <w:cantSplit/>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B4C852B" w14:textId="77777777" w:rsidR="004C6905" w:rsidRDefault="008457E4">
            <w:pPr>
              <w:rPr>
                <w:b/>
                <w:bCs/>
              </w:rPr>
            </w:pPr>
            <w:r>
              <w:rPr>
                <w:b/>
                <w:bCs/>
              </w:rPr>
              <w:t>Transfer of freehold</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19D7DE4" w14:textId="77777777" w:rsidR="004C6905" w:rsidRDefault="008457E4">
            <w:r>
              <w:t>As you can only reach a maximum of 75% ownership, this home will always remain leasehold.</w:t>
            </w:r>
          </w:p>
        </w:tc>
      </w:tr>
      <w:tr w:rsidR="004C6905" w14:paraId="0E3DE867" w14:textId="77777777" w:rsidTr="00726006">
        <w:trPr>
          <w:cantSplit/>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0E8C022" w14:textId="77777777" w:rsidR="004C6905" w:rsidRDefault="008457E4">
            <w:pPr>
              <w:pStyle w:val="Normalintable"/>
              <w:rPr>
                <w:b/>
                <w:bCs/>
              </w:rPr>
            </w:pPr>
            <w:r>
              <w:rPr>
                <w:b/>
                <w:bCs/>
              </w:rPr>
              <w:lastRenderedPageBreak/>
              <w:t>Landlord</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70DD904" w14:textId="77777777" w:rsidR="00726006" w:rsidRDefault="00726006" w:rsidP="00726006">
            <w:pPr>
              <w:pStyle w:val="Normalintable"/>
              <w:rPr>
                <w:shd w:val="clear" w:color="auto" w:fill="FFFF00"/>
              </w:rPr>
            </w:pPr>
            <w:r w:rsidRPr="00893765">
              <w:t>Saxon</w:t>
            </w:r>
            <w:r>
              <w:t xml:space="preserve"> </w:t>
            </w:r>
            <w:r w:rsidRPr="00893765">
              <w:t>Weald</w:t>
            </w:r>
          </w:p>
          <w:p w14:paraId="394B19C3" w14:textId="77777777" w:rsidR="00726006" w:rsidRDefault="00726006" w:rsidP="00726006">
            <w:pPr>
              <w:pStyle w:val="Normalintable"/>
              <w:rPr>
                <w:shd w:val="clear" w:color="auto" w:fill="FFFF00"/>
              </w:rPr>
            </w:pPr>
            <w:r w:rsidRPr="00893765">
              <w:t>Saxon Weald House</w:t>
            </w:r>
          </w:p>
          <w:p w14:paraId="1128273C" w14:textId="77777777" w:rsidR="00726006" w:rsidRDefault="00726006" w:rsidP="00726006">
            <w:pPr>
              <w:pStyle w:val="Normalintable"/>
            </w:pPr>
            <w:r>
              <w:t>38-42 Worthing Road</w:t>
            </w:r>
          </w:p>
          <w:p w14:paraId="4C75D0A9" w14:textId="77777777" w:rsidR="00726006" w:rsidRDefault="00726006" w:rsidP="00726006">
            <w:pPr>
              <w:pStyle w:val="Normalintable"/>
            </w:pPr>
            <w:r>
              <w:t>Horsham</w:t>
            </w:r>
          </w:p>
          <w:p w14:paraId="5ED2AF25" w14:textId="77777777" w:rsidR="00726006" w:rsidRDefault="00726006" w:rsidP="00726006">
            <w:pPr>
              <w:pStyle w:val="Normalintable"/>
            </w:pPr>
            <w:r>
              <w:t>West Sussex</w:t>
            </w:r>
          </w:p>
          <w:p w14:paraId="0F1ABBF4" w14:textId="66640B2D" w:rsidR="00726006" w:rsidRPr="00726006" w:rsidRDefault="00726006" w:rsidP="00726006">
            <w:pPr>
              <w:pStyle w:val="Normalintable"/>
            </w:pPr>
            <w:r w:rsidRPr="00893765">
              <w:t>RH12 1DT</w:t>
            </w:r>
          </w:p>
          <w:p w14:paraId="59257D1F" w14:textId="7D8915EA" w:rsidR="004C6905" w:rsidRDefault="008457E4">
            <w:r>
              <w:t>Under a shared ownership lease, you pay for a percentage share of the market value of a home. You enter into a lease agreement with the landlord, and agree to pay rent to the landlord on the remaining share.</w:t>
            </w:r>
          </w:p>
        </w:tc>
      </w:tr>
      <w:tr w:rsidR="004C6905" w14:paraId="0D5654FF" w14:textId="77777777" w:rsidTr="00726006">
        <w:trPr>
          <w:cantSplit/>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8097E99" w14:textId="77777777" w:rsidR="004C6905" w:rsidRDefault="008457E4">
            <w:pPr>
              <w:rPr>
                <w:b/>
                <w:bCs/>
              </w:rPr>
            </w:pPr>
            <w:r>
              <w:rPr>
                <w:b/>
                <w:bCs/>
              </w:rPr>
              <w:t>Landlord’s nomination period</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F4AA2DA" w14:textId="77777777" w:rsidR="004C6905" w:rsidRDefault="008457E4">
            <w:r>
              <w:t>When you give the landlord notice that you intend to sell your share in your home, the landlord has 8 weeks to find a buyer. The landlord may offer to buy back your share, but only in exceptional circumstances and if they have funds available. If they do not find a buyer within 8 weeks, you can sell your share yourself on the open market. For example, through an estate agent.</w:t>
            </w:r>
          </w:p>
        </w:tc>
      </w:tr>
      <w:tr w:rsidR="004C6905" w14:paraId="0983C8C1" w14:textId="77777777" w:rsidTr="00726006">
        <w:trPr>
          <w:cantSplit/>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4077F45" w14:textId="77777777" w:rsidR="004C6905" w:rsidRDefault="008457E4">
            <w:pPr>
              <w:rPr>
                <w:b/>
                <w:bCs/>
              </w:rPr>
            </w:pPr>
            <w:r>
              <w:rPr>
                <w:b/>
                <w:bCs/>
              </w:rPr>
              <w:t>Pets</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995239C" w14:textId="488AFA06" w:rsidR="004C6905" w:rsidRDefault="008457E4">
            <w:r>
              <w:t xml:space="preserve">You </w:t>
            </w:r>
            <w:r w:rsidR="00726006">
              <w:t>can</w:t>
            </w:r>
            <w:r>
              <w:t xml:space="preserve"> keep pets at the home. </w:t>
            </w:r>
          </w:p>
        </w:tc>
      </w:tr>
      <w:tr w:rsidR="004C6905" w14:paraId="147AF3FD" w14:textId="77777777" w:rsidTr="00726006">
        <w:trPr>
          <w:cantSplit/>
          <w:trHeight w:val="4281"/>
        </w:trPr>
        <w:tc>
          <w:tcPr>
            <w:tcW w:w="226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FB9469E" w14:textId="77777777" w:rsidR="004C6905" w:rsidRDefault="008457E4">
            <w:pPr>
              <w:rPr>
                <w:b/>
                <w:bCs/>
              </w:rPr>
            </w:pPr>
            <w:r>
              <w:rPr>
                <w:b/>
                <w:bCs/>
              </w:rPr>
              <w:t>Subletting</w:t>
            </w:r>
          </w:p>
        </w:tc>
        <w:tc>
          <w:tcPr>
            <w:tcW w:w="708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1D6DF36" w14:textId="77777777" w:rsidR="004C6905" w:rsidRDefault="008457E4">
            <w:r>
              <w:t>You can rent out a room in the home, but you must live there at the same time.</w:t>
            </w:r>
          </w:p>
          <w:p w14:paraId="4B3DDCDA" w14:textId="77777777" w:rsidR="004C6905" w:rsidRDefault="008457E4">
            <w:r>
              <w:t>You cannot sublet (rent out) your entire home unless you:</w:t>
            </w:r>
          </w:p>
          <w:p w14:paraId="1F4E86EA" w14:textId="77777777" w:rsidR="004C6905" w:rsidRDefault="008457E4">
            <w:pPr>
              <w:pStyle w:val="ListParagraph"/>
              <w:keepNext w:val="0"/>
              <w:numPr>
                <w:ilvl w:val="0"/>
                <w:numId w:val="2"/>
              </w:numPr>
              <w:ind w:left="1349" w:hanging="992"/>
            </w:pPr>
            <w:r>
              <w:t>have your landlord's permission which they will only give in exceptional circumstances (see section 1.5 in ‘Key information about shared ownership’ document)</w:t>
            </w:r>
          </w:p>
          <w:p w14:paraId="229A922E" w14:textId="77777777" w:rsidR="004C6905" w:rsidRDefault="008457E4">
            <w:r>
              <w:t xml:space="preserve">and </w:t>
            </w:r>
          </w:p>
          <w:p w14:paraId="1EE6BA04" w14:textId="77777777" w:rsidR="004C6905" w:rsidRDefault="008457E4">
            <w:pPr>
              <w:pStyle w:val="ListParagraph"/>
              <w:keepNext w:val="0"/>
              <w:numPr>
                <w:ilvl w:val="0"/>
                <w:numId w:val="2"/>
              </w:numPr>
              <w:ind w:left="1349" w:hanging="992"/>
            </w:pPr>
            <w:r>
              <w:t>have your mortgage lender’s permission if you have a mortgage</w:t>
            </w:r>
          </w:p>
        </w:tc>
      </w:tr>
      <w:tr w:rsidR="004C6905" w14:paraId="3FAB8F3A" w14:textId="77777777" w:rsidTr="00726006">
        <w:tc>
          <w:tcPr>
            <w:tcW w:w="226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BEEDDCB" w14:textId="562AF99F" w:rsidR="004C6905" w:rsidRDefault="008457E4">
            <w:pPr>
              <w:rPr>
                <w:b/>
                <w:bCs/>
              </w:rPr>
            </w:pPr>
            <w:r>
              <w:rPr>
                <w:b/>
                <w:bCs/>
              </w:rPr>
              <w:t xml:space="preserve">Warden </w:t>
            </w:r>
            <w:r w:rsidR="00726006">
              <w:rPr>
                <w:b/>
                <w:bCs/>
              </w:rPr>
              <w:t>&amp; P</w:t>
            </w:r>
            <w:r>
              <w:rPr>
                <w:b/>
                <w:bCs/>
              </w:rPr>
              <w:t>erson</w:t>
            </w:r>
            <w:r w:rsidR="00726006">
              <w:rPr>
                <w:b/>
                <w:bCs/>
              </w:rPr>
              <w:t>-</w:t>
            </w:r>
            <w:r>
              <w:rPr>
                <w:b/>
                <w:bCs/>
              </w:rPr>
              <w:t xml:space="preserve"> centred services</w:t>
            </w:r>
          </w:p>
        </w:tc>
        <w:tc>
          <w:tcPr>
            <w:tcW w:w="708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5BF8705" w14:textId="291DC64F" w:rsidR="004C6905" w:rsidRDefault="00726006">
            <w:r>
              <w:t xml:space="preserve"> </w:t>
            </w:r>
            <w:r w:rsidRPr="00726006">
              <w:t>Scheme manager onsite and call system in place. Care team on-site 24 hours a day</w:t>
            </w:r>
          </w:p>
        </w:tc>
      </w:tr>
    </w:tbl>
    <w:p w14:paraId="33A277B1" w14:textId="77777777" w:rsidR="007E1EB7" w:rsidRDefault="007E1EB7">
      <w:pPr>
        <w:sectPr w:rsidR="007E1EB7">
          <w:headerReference w:type="default" r:id="rId7"/>
          <w:footerReference w:type="default" r:id="rId8"/>
          <w:pgSz w:w="11900" w:h="16840"/>
          <w:pgMar w:top="902" w:right="1287" w:bottom="1077" w:left="1259" w:header="720" w:footer="720" w:gutter="0"/>
          <w:cols w:space="720"/>
        </w:sectPr>
      </w:pPr>
    </w:p>
    <w:bookmarkEnd w:id="0"/>
    <w:p w14:paraId="7AD6900C" w14:textId="77777777" w:rsidR="004C6905" w:rsidRDefault="004C6905">
      <w:pPr>
        <w:pStyle w:val="Heading1"/>
        <w:rPr>
          <w:rFonts w:eastAsia="Arial"/>
        </w:rPr>
      </w:pPr>
    </w:p>
    <w:sectPr w:rsidR="004C6905">
      <w:headerReference w:type="default" r:id="rId9"/>
      <w:footerReference w:type="default" r:id="rId10"/>
      <w:pgSz w:w="11900" w:h="16840"/>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CBB05" w14:textId="77777777" w:rsidR="00361D4E" w:rsidRDefault="00361D4E">
      <w:pPr>
        <w:spacing w:before="0" w:after="0"/>
      </w:pPr>
      <w:r>
        <w:separator/>
      </w:r>
    </w:p>
  </w:endnote>
  <w:endnote w:type="continuationSeparator" w:id="0">
    <w:p w14:paraId="295C89E2" w14:textId="77777777" w:rsidR="00361D4E" w:rsidRDefault="00361D4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9C4BE" w14:textId="77777777" w:rsidR="00B90358" w:rsidRDefault="008457E4">
    <w:r>
      <w:rPr>
        <w:noProof/>
      </w:rPr>
      <mc:AlternateContent>
        <mc:Choice Requires="wps">
          <w:drawing>
            <wp:anchor distT="0" distB="0" distL="114300" distR="114300" simplePos="0" relativeHeight="251661312" behindDoc="0" locked="0" layoutInCell="1" allowOverlap="1" wp14:anchorId="5152F050" wp14:editId="425D54FF">
              <wp:simplePos x="0" y="0"/>
              <wp:positionH relativeFrom="page">
                <wp:posOffset>0</wp:posOffset>
              </wp:positionH>
              <wp:positionV relativeFrom="page">
                <wp:posOffset>10236200</wp:posOffset>
              </wp:positionV>
              <wp:extent cx="7556501" cy="266703"/>
              <wp:effectExtent l="0" t="0" r="0" b="0"/>
              <wp:wrapNone/>
              <wp:docPr id="2" name="MSIPCM2ab142279267a5a09f400329" descr="{&quot;HashCode&quot;:-1663372469,&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246D99B1" w14:textId="77777777" w:rsidR="00B90358" w:rsidRDefault="008457E4">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5152F050" id="_x0000_t202" coordsize="21600,21600" o:spt="202" path="m,l,21600r21600,l21600,xe">
              <v:stroke joinstyle="miter"/>
              <v:path gradientshapeok="t" o:connecttype="rect"/>
            </v:shapetype>
            <v:shape id="MSIPCM2ab142279267a5a09f400329" o:spid="_x0000_s1026" type="#_x0000_t202" alt="{&quot;HashCode&quot;:-1663372469,&quot;Height&quot;:842.0,&quot;Width&quot;:595.0,&quot;Placement&quot;:&quot;Footer&quot;,&quot;Index&quot;:&quot;Primary&quot;,&quot;Section&quot;:2,&quot;Top&quot;:0.0,&quot;Left&quot;:0.0}" style="position:absolute;margin-left:0;margin-top:806pt;width:595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246D99B1" w14:textId="77777777" w:rsidR="00B90358" w:rsidRDefault="008457E4">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68917" w14:textId="77777777" w:rsidR="00B90358" w:rsidRDefault="008457E4">
    <w:r>
      <w:rPr>
        <w:noProof/>
      </w:rPr>
      <mc:AlternateContent>
        <mc:Choice Requires="wps">
          <w:drawing>
            <wp:anchor distT="0" distB="0" distL="114300" distR="114300" simplePos="0" relativeHeight="251663360" behindDoc="0" locked="0" layoutInCell="1" allowOverlap="1" wp14:anchorId="496150EA" wp14:editId="3DCE4C80">
              <wp:simplePos x="0" y="0"/>
              <wp:positionH relativeFrom="page">
                <wp:posOffset>0</wp:posOffset>
              </wp:positionH>
              <wp:positionV relativeFrom="page">
                <wp:posOffset>10236200</wp:posOffset>
              </wp:positionV>
              <wp:extent cx="7556501" cy="266703"/>
              <wp:effectExtent l="0" t="0" r="0" b="0"/>
              <wp:wrapNone/>
              <wp:docPr id="3" name="MSIPCM52ba455f85599d38148f8152" descr="{&quot;HashCode&quot;:-1663372469,&quot;Height&quot;:842.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7B7439D1" w14:textId="77777777" w:rsidR="00B90358" w:rsidRDefault="008457E4">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496150EA" id="_x0000_t202" coordsize="21600,21600" o:spt="202" path="m,l,21600r21600,l21600,xe">
              <v:stroke joinstyle="miter"/>
              <v:path gradientshapeok="t" o:connecttype="rect"/>
            </v:shapetype>
            <v:shape id="MSIPCM52ba455f85599d38148f8152" o:spid="_x0000_s1027" type="#_x0000_t202" alt="{&quot;HashCode&quot;:-1663372469,&quot;Height&quot;:842.0,&quot;Width&quot;:595.0,&quot;Placement&quot;:&quot;Footer&quot;,&quot;Index&quot;:&quot;Primary&quot;,&quot;Section&quot;:3,&quot;Top&quot;:0.0,&quot;Left&quot;:0.0}" style="position:absolute;margin-left:0;margin-top:806pt;width:595pt;height:21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ahuwEAAGsDAAAOAAAAZHJzL2Uyb0RvYy54bWysU8GO0zAQvSPxD5bv1GnZdi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" filled="f" stroked="f">
              <v:textbox inset=",0,,0">
                <w:txbxContent>
                  <w:p w14:paraId="7B7439D1" w14:textId="77777777" w:rsidR="00B90358" w:rsidRDefault="008457E4">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90FEF" w14:textId="77777777" w:rsidR="00361D4E" w:rsidRDefault="00361D4E">
      <w:pPr>
        <w:spacing w:before="0" w:after="0"/>
      </w:pPr>
      <w:r>
        <w:rPr>
          <w:color w:val="000000"/>
        </w:rPr>
        <w:separator/>
      </w:r>
    </w:p>
  </w:footnote>
  <w:footnote w:type="continuationSeparator" w:id="0">
    <w:p w14:paraId="0AEA4474" w14:textId="77777777" w:rsidR="00361D4E" w:rsidRDefault="00361D4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D627F" w14:textId="77777777" w:rsidR="00B90358" w:rsidRDefault="008457E4">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D44C1" w14:textId="77777777" w:rsidR="00B90358" w:rsidRDefault="008457E4">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F320B"/>
    <w:multiLevelType w:val="multilevel"/>
    <w:tmpl w:val="11BCB18A"/>
    <w:styleLink w:val="MainNumbering"/>
    <w:lvl w:ilvl="0">
      <w:start w:val="1"/>
      <w:numFmt w:val="decimal"/>
      <w:pStyle w:val="Level7"/>
      <w:lvlText w:val="%1"/>
      <w:lvlJc w:val="left"/>
      <w:pPr>
        <w:ind w:left="992" w:hanging="992"/>
      </w:pPr>
      <w:rPr>
        <w:color w:val="auto"/>
      </w:rPr>
    </w:lvl>
    <w:lvl w:ilvl="1">
      <w:start w:val="1"/>
      <w:numFmt w:val="decimal"/>
      <w:lvlText w:val="%1.%2"/>
      <w:lvlJc w:val="left"/>
      <w:pPr>
        <w:ind w:left="992" w:hanging="992"/>
      </w:pPr>
      <w:rPr>
        <w:color w:val="auto"/>
      </w:rPr>
    </w:lvl>
    <w:lvl w:ilvl="2">
      <w:start w:val="1"/>
      <w:numFmt w:val="decimal"/>
      <w:lvlText w:val="%1.%2.%3"/>
      <w:lvlJc w:val="left"/>
      <w:pPr>
        <w:ind w:left="1984" w:hanging="992"/>
      </w:pPr>
      <w:rPr>
        <w:color w:val="auto"/>
      </w:rPr>
    </w:lvl>
    <w:lvl w:ilvl="3">
      <w:start w:val="1"/>
      <w:numFmt w:val="lowerLetter"/>
      <w:lvlText w:val="(%4)"/>
      <w:lvlJc w:val="left"/>
      <w:pPr>
        <w:ind w:left="2693" w:hanging="709"/>
      </w:pPr>
      <w:rPr>
        <w:color w:val="auto"/>
      </w:rPr>
    </w:lvl>
    <w:lvl w:ilvl="4">
      <w:start w:val="1"/>
      <w:numFmt w:val="lowerRoman"/>
      <w:lvlText w:val="%5"/>
      <w:lvlJc w:val="left"/>
      <w:pPr>
        <w:ind w:left="2693" w:hanging="709"/>
      </w:pPr>
      <w:rPr>
        <w:color w:val="auto"/>
      </w:rPr>
    </w:lvl>
    <w:lvl w:ilvl="5">
      <w:start w:val="1"/>
      <w:numFmt w:val="upperLetter"/>
      <w:lvlText w:val="%6"/>
      <w:lvlJc w:val="left"/>
      <w:pPr>
        <w:ind w:left="2693" w:hanging="709"/>
      </w:pPr>
      <w:rPr>
        <w:color w:val="auto"/>
      </w:rPr>
    </w:lvl>
    <w:lvl w:ilvl="6">
      <w:start w:val="1"/>
      <w:numFmt w:val="decimal"/>
      <w:lvlText w:val="%7."/>
      <w:lvlJc w:val="left"/>
      <w:pPr>
        <w:ind w:left="2693" w:hanging="709"/>
      </w:pPr>
      <w:rPr>
        <w:color w:val="auto"/>
      </w:rPr>
    </w:lvl>
    <w:lvl w:ilvl="7">
      <w:start w:val="1"/>
      <w:numFmt w:val="none"/>
      <w:suff w:val="nothing"/>
      <w:lvlText w:val="%8"/>
      <w:lvlJc w:val="left"/>
    </w:lvl>
    <w:lvl w:ilvl="8">
      <w:start w:val="1"/>
      <w:numFmt w:val="none"/>
      <w:suff w:val="nothing"/>
      <w:lvlText w:val="%9"/>
      <w:lvlJc w:val="left"/>
    </w:lvl>
  </w:abstractNum>
  <w:abstractNum w:abstractNumId="1" w15:restartNumberingAfterBreak="0">
    <w:nsid w:val="215A27EC"/>
    <w:multiLevelType w:val="multilevel"/>
    <w:tmpl w:val="85E415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10B6877"/>
    <w:multiLevelType w:val="hybridMultilevel"/>
    <w:tmpl w:val="CADC1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8238270">
    <w:abstractNumId w:val="0"/>
  </w:num>
  <w:num w:numId="2" w16cid:durableId="2008244883">
    <w:abstractNumId w:val="1"/>
  </w:num>
  <w:num w:numId="3" w16cid:durableId="14157820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905"/>
    <w:rsid w:val="00107E10"/>
    <w:rsid w:val="0014607B"/>
    <w:rsid w:val="00267DFF"/>
    <w:rsid w:val="00361D4E"/>
    <w:rsid w:val="004C6905"/>
    <w:rsid w:val="004E46AD"/>
    <w:rsid w:val="0067041B"/>
    <w:rsid w:val="006C3697"/>
    <w:rsid w:val="00726006"/>
    <w:rsid w:val="007E1EB7"/>
    <w:rsid w:val="008457E4"/>
    <w:rsid w:val="00A80887"/>
    <w:rsid w:val="00A80E7B"/>
    <w:rsid w:val="00B90358"/>
    <w:rsid w:val="00BB5CC4"/>
    <w:rsid w:val="00C57314"/>
    <w:rsid w:val="00CC7EF4"/>
    <w:rsid w:val="00D71EA4"/>
    <w:rsid w:val="00FA4EA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892B8"/>
  <w15:docId w15:val="{20A422D1-196E-49A6-B5FA-749971955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unhideWhenUsed/>
    <w:qFormat/>
    <w:pPr>
      <w:spacing w:before="240"/>
      <w:outlineLvl w:val="1"/>
    </w:pPr>
    <w:rPr>
      <w:sz w:val="32"/>
    </w:rPr>
  </w:style>
  <w:style w:type="paragraph" w:styleId="Heading3">
    <w:name w:val="heading 3"/>
    <w:basedOn w:val="Normal"/>
    <w:next w:val="Normal"/>
    <w:uiPriority w:val="9"/>
    <w:semiHidden/>
    <w:unhideWhenUsed/>
    <w:qFormat/>
    <w:pPr>
      <w:keepNext/>
      <w:spacing w:before="40"/>
      <w:outlineLvl w:val="2"/>
    </w:pPr>
    <w:rPr>
      <w:rFonts w:eastAsia="Yu Gothic Light"/>
      <w:b/>
      <w:bCs/>
      <w:color w:val="000000"/>
    </w:rPr>
  </w:style>
  <w:style w:type="paragraph" w:styleId="Heading4">
    <w:name w:val="heading 4"/>
    <w:basedOn w:val="Normal"/>
    <w:next w:val="Normal"/>
    <w:uiPriority w:val="9"/>
    <w:semiHidden/>
    <w:unhideWhenUsed/>
    <w:qFormat/>
    <w:pPr>
      <w:keepNext/>
      <w:spacing w:before="40"/>
      <w:outlineLvl w:val="3"/>
    </w:pPr>
    <w:rPr>
      <w:rFonts w:eastAsia="Yu Gothic Light"/>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 w:type="paragraph" w:customStyle="1" w:styleId="Body">
    <w:name w:val="Body"/>
    <w:basedOn w:val="Normal"/>
    <w:pPr>
      <w:suppressAutoHyphens w:val="0"/>
      <w:spacing w:before="0" w:line="276" w:lineRule="auto"/>
      <w:jc w:val="both"/>
      <w:textAlignment w:val="auto"/>
    </w:pPr>
    <w:rPr>
      <w:sz w:val="21"/>
      <w:szCs w:val="22"/>
    </w:rPr>
  </w:style>
  <w:style w:type="paragraph" w:customStyle="1" w:styleId="Body1">
    <w:name w:val="Body 1"/>
    <w:basedOn w:val="Body"/>
    <w:pPr>
      <w:ind w:left="992"/>
    </w:pPr>
  </w:style>
  <w:style w:type="paragraph" w:customStyle="1" w:styleId="Body2">
    <w:name w:val="Body 2"/>
    <w:basedOn w:val="Body"/>
    <w:pPr>
      <w:ind w:left="992"/>
    </w:pPr>
    <w:rPr>
      <w:sz w:val="24"/>
      <w:szCs w:val="24"/>
      <w:lang w:eastAsia="en-GB"/>
    </w:rPr>
  </w:style>
  <w:style w:type="paragraph" w:customStyle="1" w:styleId="Body3">
    <w:name w:val="Body 3"/>
    <w:basedOn w:val="Body"/>
    <w:pPr>
      <w:ind w:left="1984"/>
    </w:pPr>
    <w:rPr>
      <w:sz w:val="24"/>
      <w:szCs w:val="28"/>
    </w:rPr>
  </w:style>
  <w:style w:type="paragraph" w:customStyle="1" w:styleId="Body4">
    <w:name w:val="Body 4"/>
    <w:basedOn w:val="Body"/>
    <w:pPr>
      <w:ind w:left="2693"/>
    </w:pPr>
  </w:style>
  <w:style w:type="paragraph" w:customStyle="1" w:styleId="Body5">
    <w:name w:val="Body 5"/>
    <w:basedOn w:val="Body"/>
    <w:pPr>
      <w:ind w:left="2693"/>
    </w:pPr>
  </w:style>
  <w:style w:type="paragraph" w:customStyle="1" w:styleId="Body6">
    <w:name w:val="Body 6"/>
    <w:basedOn w:val="Body"/>
    <w:pPr>
      <w:ind w:left="2693"/>
    </w:pPr>
  </w:style>
  <w:style w:type="paragraph" w:customStyle="1" w:styleId="Body7">
    <w:name w:val="Body 7"/>
    <w:basedOn w:val="Body"/>
    <w:pPr>
      <w:ind w:left="2693"/>
    </w:pPr>
  </w:style>
  <w:style w:type="paragraph" w:customStyle="1" w:styleId="Level1">
    <w:name w:val="Level 1"/>
    <w:basedOn w:val="Body1"/>
    <w:rPr>
      <w:sz w:val="32"/>
      <w:szCs w:val="36"/>
    </w:rPr>
  </w:style>
  <w:style w:type="paragraph" w:customStyle="1" w:styleId="Level2">
    <w:name w:val="Level 2"/>
    <w:basedOn w:val="Body2"/>
    <w:rPr>
      <w:szCs w:val="28"/>
    </w:rPr>
  </w:style>
  <w:style w:type="paragraph" w:customStyle="1" w:styleId="Level3">
    <w:name w:val="Level 3"/>
    <w:basedOn w:val="Body3"/>
    <w:pPr>
      <w:suppressAutoHyphens/>
    </w:pPr>
  </w:style>
  <w:style w:type="paragraph" w:customStyle="1" w:styleId="Level4">
    <w:name w:val="Level 4"/>
    <w:basedOn w:val="Body4"/>
  </w:style>
  <w:style w:type="paragraph" w:customStyle="1" w:styleId="Level5">
    <w:name w:val="Level 5"/>
    <w:basedOn w:val="Body5"/>
  </w:style>
  <w:style w:type="paragraph" w:customStyle="1" w:styleId="Level6">
    <w:name w:val="Level 6"/>
    <w:basedOn w:val="Body6"/>
  </w:style>
  <w:style w:type="paragraph" w:customStyle="1" w:styleId="Level7">
    <w:name w:val="Level 7"/>
    <w:basedOn w:val="Body7"/>
    <w:pPr>
      <w:numPr>
        <w:numId w:val="1"/>
      </w:numPr>
    </w:pPr>
  </w:style>
  <w:style w:type="character" w:customStyle="1" w:styleId="Level1asheadingtext">
    <w:name w:val="Level 1 as heading (text)"/>
    <w:basedOn w:val="DefaultParagraphFont"/>
    <w:rPr>
      <w:b/>
    </w:rPr>
  </w:style>
  <w:style w:type="character" w:customStyle="1" w:styleId="Level2asheadingtext">
    <w:name w:val="Level 2 as heading (text)"/>
    <w:basedOn w:val="DefaultParagraphFont"/>
    <w:rPr>
      <w:b/>
    </w:rPr>
  </w:style>
  <w:style w:type="character" w:customStyle="1" w:styleId="Level3asheadingtext">
    <w:name w:val="Level 3 as heading (text)"/>
    <w:basedOn w:val="DefaultParagraphFont"/>
    <w:rPr>
      <w:b/>
    </w:rPr>
  </w:style>
  <w:style w:type="character" w:customStyle="1" w:styleId="Level4asheadingtext">
    <w:name w:val="Level 4 as heading (text)"/>
    <w:basedOn w:val="DefaultParagraphFont"/>
    <w:rPr>
      <w:b/>
    </w:rPr>
  </w:style>
  <w:style w:type="character" w:customStyle="1" w:styleId="Level5asheadingtext">
    <w:name w:val="Level 5 as heading (text)"/>
    <w:basedOn w:val="DefaultParagraphFont"/>
    <w:rPr>
      <w:b/>
    </w:rPr>
  </w:style>
  <w:style w:type="character" w:customStyle="1" w:styleId="Level6asheadingtext">
    <w:name w:val="Level 6 as heading (text)"/>
    <w:basedOn w:val="DefaultParagraphFont"/>
    <w:rPr>
      <w:b/>
    </w:rPr>
  </w:style>
  <w:style w:type="character" w:customStyle="1" w:styleId="Level7asheadingtext">
    <w:name w:val="Level 7 as heading (text)"/>
    <w:basedOn w:val="DefaultParagraphFont"/>
    <w:rPr>
      <w:b/>
    </w:rPr>
  </w:style>
  <w:style w:type="numbering" w:customStyle="1" w:styleId="MainNumbering">
    <w:name w:val="Main Numbering"/>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994</Words>
  <Characters>4902</Characters>
  <Application>Microsoft Office Word</Application>
  <DocSecurity>0</DocSecurity>
  <Lines>175</Lines>
  <Paragraphs>109</Paragraphs>
  <ScaleCrop>false</ScaleCrop>
  <HeadingPairs>
    <vt:vector size="2" baseType="variant">
      <vt:variant>
        <vt:lpstr>Title</vt:lpstr>
      </vt:variant>
      <vt:variant>
        <vt:i4>1</vt:i4>
      </vt:variant>
    </vt:vector>
  </HeadingPairs>
  <TitlesOfParts>
    <vt:vector size="1" baseType="lpstr">
      <vt:lpstr>OPSO 1621 V3 compared with Base KID 1621 v7 22.7.22 (CLEAN)</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OPSO 1621 V3 compared with Base KID 1621 v7 22.7.22 (CLEAN)</dc:title>
  <dc:subject>Shared ownership</dc:subject>
  <dc:creator>Keith Cornell</dc:creator>
  <cp:keywords>
  </cp:keywords>
  <dc:description>Version 8, 16 July 2021</dc:description>
  <cp:lastModifiedBy>Hannah Andreae</cp:lastModifiedBy>
  <cp:revision>8</cp:revision>
  <cp:lastPrinted>2022-07-24T17:43:00Z</cp:lastPrinted>
  <dcterms:created xsi:type="dcterms:W3CDTF">2023-09-20T16:14:00Z</dcterms:created>
  <dcterms:modified xsi:type="dcterms:W3CDTF">2026-08-20T09:31:00Z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0x0101007B6F0D51EBDD6E43B52D54A06AEA00E3</vt:lpwstr>
  </property>
  <property fmtid="{D5CDD505-2E9C-101B-9397-08002B2CF9AE}" pid="3" name="MSIP_Label_727fb50e-81d5-40a5-b712-4eff31972ce4_Enabled">
    <vt:lpwstr>True</vt:lpwstr>
  </property>
  <property fmtid="{D5CDD505-2E9C-101B-9397-08002B2CF9AE}" pid="4" name="MSIP_Label_727fb50e-81d5-40a5-b712-4eff31972ce4_SiteId">
    <vt:lpwstr>faa8e269-0811-4538-82e7-4d29009219bf</vt:lpwstr>
  </property>
  <property fmtid="{D5CDD505-2E9C-101B-9397-08002B2CF9AE}" pid="5" name="MSIP_Label_727fb50e-81d5-40a5-b712-4eff31972ce4_Owner">
    <vt:lpwstr>Mark.Morrison@homesengland.gov.uk</vt:lpwstr>
  </property>
  <property fmtid="{D5CDD505-2E9C-101B-9397-08002B2CF9AE}" pid="6" name="MSIP_Label_727fb50e-81d5-40a5-b712-4eff31972ce4_SetDate">
    <vt:lpwstr>2020-12-14T15:09:26.0711699Z</vt:lpwstr>
  </property>
  <property fmtid="{D5CDD505-2E9C-101B-9397-08002B2CF9AE}" pid="7" name="MSIP_Label_727fb50e-81d5-40a5-b712-4eff31972ce4_Name">
    <vt:lpwstr>Official</vt:lpwstr>
  </property>
  <property fmtid="{D5CDD505-2E9C-101B-9397-08002B2CF9AE}" pid="8" name="MSIP_Label_727fb50e-81d5-40a5-b712-4eff31972ce4_Application">
    <vt:lpwstr>Microsoft Azure Information Protection</vt:lpwstr>
  </property>
  <property fmtid="{D5CDD505-2E9C-101B-9397-08002B2CF9AE}" pid="9" name="MSIP_Label_727fb50e-81d5-40a5-b712-4eff31972ce4_ActionId">
    <vt:lpwstr>20145a3a-894e-4a24-a365-a37e60686fca</vt:lpwstr>
  </property>
  <property fmtid="{D5CDD505-2E9C-101B-9397-08002B2CF9AE}" pid="10" name="MSIP_Label_727fb50e-81d5-40a5-b712-4eff31972ce4_Extended_MSFT_Method">
    <vt:lpwstr>Automatic</vt:lpwstr>
  </property>
  <property fmtid="{D5CDD505-2E9C-101B-9397-08002B2CF9AE}" pid="11" name="Sensitivity">
    <vt:lpwstr>Official</vt:lpwstr>
  </property>
  <property fmtid="{D5CDD505-2E9C-101B-9397-08002B2CF9AE}" pid="12" name="MediaServiceImageTags">
    <vt:lpwstr>
    </vt:lpwstr>
  </property>
  <property fmtid="{D5CDD505-2E9C-101B-9397-08002B2CF9AE}" pid="13" name="bp_dc_comparedocs">
    <vt:lpwstr>5.0.200.14 _tc</vt:lpwstr>
  </property>
  <property fmtid="{D5CDD505-2E9C-101B-9397-08002B2CF9AE}" pid="14" name="/bp_dc_modversion">
    <vt:lpwstr>CeaBvE:Dspr\a 7LA:\\kme2s1 CN*Uctos2e22()*sboC . 62 .*ekp 27K1.2d!r\\E50I 72oxsH.D.c</vt:lpwstr>
  </property>
  <property fmtid="{D5CDD505-2E9C-101B-9397-08002B2CF9AE}" pid="15" name="/bp_dc_filepath">
    <vt:lpwstr>C_c u 2x:lkosscOtD1.2c\abDCco\pI67 oUcc\oomsuK2.(dso\2rDpct 12C.elT\pfao\e 2L)r\ep\drDBsv ENsmpea7A</vt:lpwstr>
  </property>
  <property fmtid="{D5CDD505-2E9C-101B-9397-08002B2CF9AE}" pid="16" name="/bp_dc_orgversion">
    <vt:lpwstr>CeaOo:Dspr\Pdc\\kme2S.xUctos2O3!sboC . V*ekp 271 *r\\E5061*sH.2:</vt:lpwstr>
  </property>
  <property fmtid="{D5CDD505-2E9C-101B-9397-08002B2CF9AE}" pid="17" name="GrammarlyDocumentId">
    <vt:lpwstr>cebd8247-e72c-4160-82e2-e3fc6e2e6c86</vt:lpwstr>
  </property>
</Properties>
</file>